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346EA" w14:textId="4452F23B" w:rsidR="00E431F2" w:rsidRDefault="00E431F2" w:rsidP="00E43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7C50D2">
        <w:rPr>
          <w:b/>
          <w:i/>
          <w:noProof/>
          <w:sz w:val="28"/>
        </w:rPr>
        <w:t>3591</w:t>
      </w:r>
    </w:p>
    <w:p w14:paraId="35F0D332" w14:textId="606260DB" w:rsidR="00B97703" w:rsidRPr="00E431F2" w:rsidRDefault="00595FE8" w:rsidP="00E431F2">
      <w:pPr>
        <w:pStyle w:val="CRCoverPage"/>
        <w:outlineLvl w:val="0"/>
        <w:rPr>
          <w:b/>
          <w:noProof/>
          <w:sz w:val="24"/>
        </w:rPr>
      </w:pPr>
      <w:r w:rsidRPr="00595FE8">
        <w:rPr>
          <w:b/>
          <w:sz w:val="24"/>
        </w:rPr>
        <w:t>Toulouse,France, 14 - 18 November 2022</w:t>
      </w:r>
      <w:r w:rsidR="00E431F2">
        <w:rPr>
          <w:b/>
          <w:noProof/>
          <w:sz w:val="24"/>
        </w:rPr>
        <w:t xml:space="preserve">       </w:t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  <w:r w:rsidR="00E431F2">
        <w:rPr>
          <w:b/>
          <w:noProof/>
          <w:sz w:val="24"/>
        </w:rPr>
        <w:tab/>
      </w:r>
    </w:p>
    <w:p w14:paraId="72E2ED64" w14:textId="425B4B0E" w:rsidR="004E3939" w:rsidRPr="002603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93565" w:rsidRPr="1F78E601">
        <w:rPr>
          <w:rFonts w:ascii="Arial" w:hAnsi="Arial" w:cs="Arial"/>
          <w:b/>
          <w:bCs/>
          <w:highlight w:val="yellow"/>
        </w:rPr>
        <w:t>[DRAFT]</w:t>
      </w:r>
      <w:r w:rsidR="002603BF">
        <w:rPr>
          <w:rFonts w:ascii="Arial" w:hAnsi="Arial" w:cs="Arial"/>
          <w:b/>
          <w:sz w:val="22"/>
          <w:szCs w:val="22"/>
        </w:rPr>
        <w:t xml:space="preserve"> </w:t>
      </w:r>
      <w:r w:rsidRPr="002603BF">
        <w:rPr>
          <w:rFonts w:ascii="Arial" w:hAnsi="Arial" w:cs="Arial"/>
          <w:b/>
          <w:sz w:val="22"/>
          <w:szCs w:val="22"/>
        </w:rPr>
        <w:t xml:space="preserve">LS on </w:t>
      </w:r>
      <w:r w:rsidR="002603BF" w:rsidRPr="002603BF">
        <w:rPr>
          <w:rFonts w:ascii="Arial" w:hAnsi="Arial" w:cs="Arial"/>
          <w:b/>
          <w:sz w:val="22"/>
          <w:szCs w:val="22"/>
        </w:rPr>
        <w:t xml:space="preserve">notification </w:t>
      </w:r>
      <w:r w:rsidR="002603BF">
        <w:rPr>
          <w:rFonts w:ascii="Arial" w:hAnsi="Arial" w:cs="Arial"/>
          <w:b/>
          <w:sz w:val="22"/>
          <w:szCs w:val="22"/>
        </w:rPr>
        <w:t xml:space="preserve">URI disclosure </w:t>
      </w:r>
    </w:p>
    <w:p w14:paraId="06BA196E" w14:textId="696244A5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603BF">
        <w:rPr>
          <w:rFonts w:ascii="Arial" w:hAnsi="Arial" w:cs="Arial"/>
          <w:b/>
          <w:sz w:val="22"/>
          <w:szCs w:val="22"/>
        </w:rPr>
        <w:t>Response to: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D302A2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3FAFEB41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603BF">
        <w:rPr>
          <w:rFonts w:ascii="Arial" w:hAnsi="Arial" w:cs="Arial"/>
          <w:b/>
          <w:sz w:val="22"/>
          <w:szCs w:val="22"/>
        </w:rPr>
        <w:t>Release: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2603BF" w:rsidRPr="002603BF">
        <w:rPr>
          <w:rFonts w:ascii="Arial" w:hAnsi="Arial" w:cs="Arial"/>
          <w:b/>
          <w:bCs/>
          <w:sz w:val="22"/>
          <w:szCs w:val="22"/>
        </w:rPr>
        <w:t>R</w:t>
      </w:r>
      <w:r w:rsidR="0026276E">
        <w:rPr>
          <w:rFonts w:ascii="Arial" w:hAnsi="Arial" w:cs="Arial"/>
          <w:b/>
          <w:bCs/>
          <w:sz w:val="22"/>
          <w:szCs w:val="22"/>
        </w:rPr>
        <w:t>el</w:t>
      </w:r>
      <w:r w:rsidR="002603BF" w:rsidRPr="002603BF">
        <w:rPr>
          <w:rFonts w:ascii="Arial" w:hAnsi="Arial" w:cs="Arial"/>
          <w:b/>
          <w:bCs/>
          <w:sz w:val="22"/>
          <w:szCs w:val="22"/>
        </w:rPr>
        <w:t>-17</w:t>
      </w:r>
    </w:p>
    <w:bookmarkEnd w:id="2"/>
    <w:bookmarkEnd w:id="3"/>
    <w:bookmarkEnd w:id="4"/>
    <w:p w14:paraId="1E9D3ED8" w14:textId="5E246736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603BF">
        <w:rPr>
          <w:rFonts w:ascii="Arial" w:hAnsi="Arial" w:cs="Arial"/>
          <w:b/>
          <w:sz w:val="22"/>
          <w:szCs w:val="22"/>
        </w:rPr>
        <w:t>Work Item: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8D5FC5" w:rsidRPr="008D5FC5">
        <w:rPr>
          <w:rFonts w:ascii="Arial" w:hAnsi="Arial" w:cs="Arial"/>
          <w:b/>
          <w:bCs/>
          <w:sz w:val="22"/>
          <w:szCs w:val="22"/>
        </w:rPr>
        <w:t>Service Based Architecture (Rel-15/16/17)</w:t>
      </w:r>
    </w:p>
    <w:p w14:paraId="11809BB2" w14:textId="77777777" w:rsidR="00B97703" w:rsidRPr="002603B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4165DE" w:rsidR="00B97703" w:rsidRPr="002603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603BF">
        <w:rPr>
          <w:rFonts w:ascii="Arial" w:hAnsi="Arial" w:cs="Arial"/>
          <w:b/>
          <w:sz w:val="22"/>
          <w:szCs w:val="22"/>
        </w:rPr>
        <w:t>Source:</w:t>
      </w:r>
      <w:r w:rsidRPr="002603BF">
        <w:rPr>
          <w:rFonts w:ascii="Arial" w:hAnsi="Arial" w:cs="Arial"/>
          <w:b/>
          <w:sz w:val="22"/>
          <w:szCs w:val="22"/>
        </w:rPr>
        <w:tab/>
      </w:r>
      <w:r w:rsidR="00193565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193565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8988E9D" w:rsidR="00B97703" w:rsidRPr="002603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603BF">
        <w:rPr>
          <w:rFonts w:ascii="Arial" w:hAnsi="Arial" w:cs="Arial"/>
          <w:b/>
          <w:sz w:val="22"/>
          <w:szCs w:val="22"/>
        </w:rPr>
        <w:t>To: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2603BF" w:rsidRPr="002603BF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F743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603BF">
        <w:rPr>
          <w:rFonts w:ascii="Arial" w:hAnsi="Arial" w:cs="Arial"/>
          <w:b/>
          <w:sz w:val="22"/>
          <w:szCs w:val="22"/>
        </w:rPr>
        <w:t>Cc:</w:t>
      </w:r>
      <w:r w:rsidRPr="002603BF">
        <w:rPr>
          <w:rFonts w:ascii="Arial" w:hAnsi="Arial" w:cs="Arial"/>
          <w:b/>
          <w:bCs/>
          <w:sz w:val="22"/>
          <w:szCs w:val="22"/>
        </w:rPr>
        <w:tab/>
      </w:r>
      <w:r w:rsidR="00D302A2">
        <w:rPr>
          <w:rFonts w:ascii="Arial" w:hAnsi="Arial" w:cs="Arial"/>
          <w:b/>
          <w:bCs/>
          <w:sz w:val="22"/>
          <w:szCs w:val="22"/>
        </w:rPr>
        <w:t>-</w:t>
      </w:r>
      <w:r w:rsidR="002603BF" w:rsidRPr="002603BF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F340EC" w14:textId="77777777" w:rsidR="00B2225F" w:rsidRDefault="00B97703" w:rsidP="002603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03BF" w:rsidRPr="002603BF">
        <w:rPr>
          <w:rFonts w:ascii="Arial" w:hAnsi="Arial" w:cs="Arial"/>
          <w:b/>
          <w:bCs/>
          <w:sz w:val="22"/>
          <w:szCs w:val="22"/>
        </w:rPr>
        <w:t xml:space="preserve">Zhang Bo, </w:t>
      </w:r>
    </w:p>
    <w:p w14:paraId="5C701869" w14:textId="0D4A9203" w:rsidR="00B97703" w:rsidRDefault="00B2225F" w:rsidP="002603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Pr="0012112B">
          <w:rPr>
            <w:rStyle w:val="af0"/>
            <w:rFonts w:ascii="Arial" w:hAnsi="Arial" w:cs="Arial"/>
            <w:b/>
            <w:bCs/>
            <w:sz w:val="22"/>
            <w:szCs w:val="22"/>
          </w:rPr>
          <w:t>zhangbo6@huawei.com</w:t>
        </w:r>
      </w:hyperlink>
    </w:p>
    <w:p w14:paraId="4F3793EC" w14:textId="77777777" w:rsidR="00B2225F" w:rsidRPr="004E3939" w:rsidRDefault="00B2225F" w:rsidP="002603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_GoBack"/>
      <w:bookmarkEnd w:id="7"/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9A636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DC7">
        <w:rPr>
          <w:rFonts w:ascii="Arial" w:hAnsi="Arial" w:cs="Arial" w:hint="eastAsia"/>
          <w:bCs/>
          <w:lang w:eastAsia="zh-CN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5C7D77" w14:textId="288AC51F" w:rsidR="007C0463" w:rsidRDefault="007C0463" w:rsidP="008E0A68">
      <w:pPr>
        <w:spacing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A3 </w:t>
      </w:r>
      <w:r w:rsidR="0039685A">
        <w:rPr>
          <w:color w:val="000000"/>
          <w:lang w:eastAsia="zh-CN"/>
        </w:rPr>
        <w:t>has</w:t>
      </w:r>
      <w:r>
        <w:rPr>
          <w:color w:val="000000"/>
          <w:lang w:eastAsia="zh-CN"/>
        </w:rPr>
        <w:t xml:space="preserve"> discuss</w:t>
      </w:r>
      <w:r w:rsidR="0039685A">
        <w:rPr>
          <w:color w:val="000000"/>
          <w:lang w:eastAsia="zh-CN"/>
        </w:rPr>
        <w:t>ed</w:t>
      </w:r>
      <w:r>
        <w:rPr>
          <w:color w:val="000000"/>
          <w:lang w:eastAsia="zh-CN"/>
        </w:rPr>
        <w:t xml:space="preserve"> the </w:t>
      </w:r>
      <w:r w:rsidRPr="007C0463">
        <w:rPr>
          <w:color w:val="000000"/>
          <w:lang w:eastAsia="zh-CN"/>
        </w:rPr>
        <w:t xml:space="preserve">"Subscribe-Notify" </w:t>
      </w:r>
      <w:r w:rsidR="0039685A">
        <w:rPr>
          <w:color w:val="000000"/>
          <w:lang w:eastAsia="zh-CN"/>
        </w:rPr>
        <w:t>mechanism in SBA and has the following observations</w:t>
      </w:r>
      <w:r w:rsidRPr="007C0463"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</w:p>
    <w:p w14:paraId="6B5B53DC" w14:textId="6675DECA" w:rsidR="008E0A68" w:rsidRPr="007C0463" w:rsidRDefault="00907004" w:rsidP="008E0A68">
      <w:pPr>
        <w:spacing w:after="120"/>
        <w:rPr>
          <w:color w:val="000000"/>
          <w:lang w:eastAsia="zh-CN"/>
        </w:rPr>
      </w:pPr>
      <w:r w:rsidRPr="00907004">
        <w:rPr>
          <w:color w:val="000000"/>
        </w:rPr>
        <w:t>In many procedures, an NF may be authorized to use the Nudm_UECM_Get service to retrieve the Amf3GppAccessRegistration, AmfNon3GppAccessRegistration, or SmfRegistrations Information</w:t>
      </w:r>
      <w:r>
        <w:rPr>
          <w:color w:val="000000"/>
        </w:rPr>
        <w:t xml:space="preserve"> </w:t>
      </w:r>
      <w:r>
        <w:rPr>
          <w:lang w:val="en-US" w:eastAsia="zh-CN"/>
        </w:rPr>
        <w:t>as specified in TS 29.503</w:t>
      </w:r>
      <w:r w:rsidRPr="00907004">
        <w:rPr>
          <w:color w:val="000000"/>
        </w:rPr>
        <w:t>. For example, the GMLC may be authorized to invoke the Nudm_UECM_Get service to retrieve the subscription data of the current serving AMF.</w:t>
      </w:r>
      <w:r>
        <w:rPr>
          <w:color w:val="000000"/>
        </w:rPr>
        <w:t xml:space="preserve"> </w:t>
      </w:r>
      <w:r w:rsidRPr="00907004">
        <w:rPr>
          <w:color w:val="000000"/>
        </w:rPr>
        <w:t>Since the deregCallbackUri</w:t>
      </w:r>
      <w:r w:rsidR="00EE1A8D">
        <w:rPr>
          <w:color w:val="000000"/>
        </w:rPr>
        <w:t xml:space="preserve"> </w:t>
      </w:r>
      <w:r w:rsidRPr="00907004">
        <w:rPr>
          <w:color w:val="000000"/>
        </w:rPr>
        <w:t xml:space="preserve">is a mandatory parameter, the </w:t>
      </w:r>
      <w:r w:rsidR="0039685A">
        <w:rPr>
          <w:color w:val="000000"/>
        </w:rPr>
        <w:t>requesting</w:t>
      </w:r>
      <w:r w:rsidR="0039685A" w:rsidRPr="00907004">
        <w:rPr>
          <w:color w:val="000000"/>
        </w:rPr>
        <w:t xml:space="preserve"> </w:t>
      </w:r>
      <w:r w:rsidRPr="00907004">
        <w:rPr>
          <w:color w:val="000000"/>
        </w:rPr>
        <w:t xml:space="preserve">NF (e.g. GMLC) will </w:t>
      </w:r>
      <w:r w:rsidR="0039685A">
        <w:rPr>
          <w:color w:val="000000"/>
        </w:rPr>
        <w:t xml:space="preserve">automatically </w:t>
      </w:r>
      <w:r w:rsidRPr="00907004">
        <w:rPr>
          <w:color w:val="000000"/>
        </w:rPr>
        <w:t>obtain the deregCallbackUri from the Nudm_UECM_Get service response</w:t>
      </w:r>
      <w:r w:rsidR="00183323">
        <w:rPr>
          <w:color w:val="000000"/>
        </w:rPr>
        <w:t xml:space="preserve"> </w:t>
      </w:r>
      <w:r w:rsidR="0039685A">
        <w:rPr>
          <w:color w:val="000000"/>
        </w:rPr>
        <w:t xml:space="preserve">although this is completely unnecessary for the procedure. This call back </w:t>
      </w:r>
      <w:r w:rsidR="00D302A2">
        <w:rPr>
          <w:color w:val="000000"/>
        </w:rPr>
        <w:t>can</w:t>
      </w:r>
      <w:r w:rsidR="00183323">
        <w:rPr>
          <w:color w:val="000000"/>
        </w:rPr>
        <w:t xml:space="preserve"> </w:t>
      </w:r>
      <w:r w:rsidR="0039685A">
        <w:rPr>
          <w:color w:val="000000"/>
        </w:rPr>
        <w:t xml:space="preserve">in </w:t>
      </w:r>
      <w:r w:rsidR="00183323">
        <w:rPr>
          <w:lang w:val="en-US" w:eastAsia="zh-CN"/>
        </w:rPr>
        <w:t xml:space="preserve">theory </w:t>
      </w:r>
      <w:r w:rsidR="0039685A">
        <w:rPr>
          <w:lang w:val="en-US" w:eastAsia="zh-CN"/>
        </w:rPr>
        <w:t xml:space="preserve">be used to </w:t>
      </w:r>
      <w:r w:rsidR="00183323">
        <w:rPr>
          <w:lang w:val="en-US" w:eastAsia="zh-CN"/>
        </w:rPr>
        <w:t>notify the AMF to deregister UE.</w:t>
      </w:r>
      <w:r w:rsidR="008E0A68" w:rsidRPr="008E0A68">
        <w:rPr>
          <w:lang w:eastAsia="zh-CN"/>
        </w:rPr>
        <w:t xml:space="preserve"> </w:t>
      </w:r>
      <w:r w:rsidR="0039685A">
        <w:rPr>
          <w:lang w:eastAsia="zh-CN"/>
        </w:rPr>
        <w:t>For this reason, t</w:t>
      </w:r>
      <w:r w:rsidR="008E0A68">
        <w:rPr>
          <w:lang w:eastAsia="zh-CN"/>
        </w:rPr>
        <w:t xml:space="preserve">he disclosure of deregCallbackUri can be problematic from a security perspective. </w:t>
      </w:r>
    </w:p>
    <w:p w14:paraId="3A33F77E" w14:textId="1A4D6C90" w:rsidR="008E0A68" w:rsidRDefault="007C0463" w:rsidP="00907004">
      <w:pPr>
        <w:spacing w:after="120"/>
        <w:rPr>
          <w:lang w:eastAsia="zh-CN"/>
        </w:rPr>
      </w:pPr>
      <w:r>
        <w:rPr>
          <w:lang w:eastAsia="zh-CN"/>
        </w:rPr>
        <w:t xml:space="preserve">Therefore, </w:t>
      </w:r>
      <w:r w:rsidR="008E0A68">
        <w:rPr>
          <w:rFonts w:hint="eastAsia"/>
          <w:lang w:eastAsia="zh-CN"/>
        </w:rPr>
        <w:t>S</w:t>
      </w:r>
      <w:r w:rsidR="008E0A68">
        <w:rPr>
          <w:lang w:eastAsia="zh-CN"/>
        </w:rPr>
        <w:t xml:space="preserve">A3 </w:t>
      </w:r>
      <w:r>
        <w:rPr>
          <w:lang w:eastAsia="zh-CN"/>
        </w:rPr>
        <w:t xml:space="preserve">would like to request CT4 to </w:t>
      </w:r>
      <w:r w:rsidR="0039685A">
        <w:rPr>
          <w:lang w:eastAsia="zh-CN"/>
        </w:rPr>
        <w:t xml:space="preserve">add the necessary </w:t>
      </w:r>
      <w:r w:rsidR="008E0A68">
        <w:rPr>
          <w:lang w:eastAsia="zh-CN"/>
        </w:rPr>
        <w:t>clarif</w:t>
      </w:r>
      <w:r w:rsidR="0039685A">
        <w:rPr>
          <w:lang w:eastAsia="zh-CN"/>
        </w:rPr>
        <w:t>ications</w:t>
      </w:r>
      <w:r w:rsidR="008E0A68">
        <w:rPr>
          <w:lang w:eastAsia="zh-CN"/>
        </w:rPr>
        <w:t xml:space="preserve"> </w:t>
      </w:r>
      <w:r w:rsidR="0039685A">
        <w:rPr>
          <w:lang w:eastAsia="zh-CN"/>
        </w:rPr>
        <w:t xml:space="preserve">in order to </w:t>
      </w:r>
      <w:r w:rsidR="008E0A68">
        <w:rPr>
          <w:lang w:eastAsia="zh-CN"/>
        </w:rPr>
        <w:t xml:space="preserve">limit or </w:t>
      </w:r>
      <w:r w:rsidR="0039685A">
        <w:rPr>
          <w:lang w:eastAsia="zh-CN"/>
        </w:rPr>
        <w:t xml:space="preserve">if possible </w:t>
      </w:r>
      <w:r w:rsidR="008E0A68">
        <w:rPr>
          <w:lang w:eastAsia="zh-CN"/>
        </w:rPr>
        <w:t xml:space="preserve">prevent </w:t>
      </w:r>
      <w:r w:rsidR="0039685A">
        <w:rPr>
          <w:lang w:eastAsia="zh-CN"/>
        </w:rPr>
        <w:t xml:space="preserve">the </w:t>
      </w:r>
      <w:r w:rsidR="008E0A68">
        <w:rPr>
          <w:lang w:eastAsia="zh-CN"/>
        </w:rPr>
        <w:t xml:space="preserve">unnecessary disclosure of the deregCallbackUri during </w:t>
      </w:r>
      <w:r w:rsidR="0039685A">
        <w:rPr>
          <w:lang w:eastAsia="zh-CN"/>
        </w:rPr>
        <w:t>such i</w:t>
      </w:r>
      <w:r w:rsidR="008E0A68">
        <w:rPr>
          <w:lang w:eastAsia="zh-CN"/>
        </w:rPr>
        <w:t xml:space="preserve">nformation </w:t>
      </w:r>
      <w:r w:rsidR="0039685A">
        <w:rPr>
          <w:lang w:eastAsia="zh-CN"/>
        </w:rPr>
        <w:t>r</w:t>
      </w:r>
      <w:r w:rsidR="008E0A68">
        <w:rPr>
          <w:lang w:eastAsia="zh-CN"/>
        </w:rPr>
        <w:t>etrieval procedures.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9AB7C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C0463">
        <w:rPr>
          <w:rFonts w:ascii="Arial" w:hAnsi="Arial" w:cs="Arial"/>
          <w:b/>
        </w:rPr>
        <w:t xml:space="preserve">: </w:t>
      </w:r>
      <w:r w:rsidR="002603BF" w:rsidRPr="007C0463">
        <w:rPr>
          <w:color w:val="000000"/>
        </w:rPr>
        <w:t>CT4</w:t>
      </w:r>
    </w:p>
    <w:p w14:paraId="066613F7" w14:textId="7D0ED6D3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7004" w:rsidRPr="00907004">
        <w:rPr>
          <w:color w:val="000000"/>
        </w:rPr>
        <w:t>SA3</w:t>
      </w:r>
      <w:r w:rsidR="00907004">
        <w:rPr>
          <w:color w:val="000000"/>
        </w:rPr>
        <w:t xml:space="preserve"> kindly asks CT4 to </w:t>
      </w:r>
      <w:r w:rsidR="0039685A">
        <w:rPr>
          <w:color w:val="000000"/>
        </w:rPr>
        <w:t>look into this issue and keep SA3 informed should there be any further actions on this</w:t>
      </w:r>
      <w:r w:rsidR="00907004">
        <w:rPr>
          <w:color w:val="000000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DF150D" w14:textId="67BFCF1F" w:rsidR="0026276E" w:rsidRDefault="0026276E" w:rsidP="002F1940">
      <w:pPr>
        <w:rPr>
          <w:lang w:val="es-ES" w:eastAsia="zh-CN"/>
        </w:rPr>
      </w:pPr>
      <w:r>
        <w:rPr>
          <w:rFonts w:hint="eastAsia"/>
          <w:lang w:val="es-ES" w:eastAsia="zh-CN"/>
        </w:rPr>
        <w:t>S</w:t>
      </w:r>
      <w:r>
        <w:rPr>
          <w:lang w:val="es-ES" w:eastAsia="zh-CN"/>
        </w:rPr>
        <w:t>A3#109</w:t>
      </w:r>
      <w:r w:rsidR="00E431F2">
        <w:rPr>
          <w:lang w:val="es-ES" w:eastAsia="zh-CN"/>
        </w:rPr>
        <w:t xml:space="preserve"> - bies</w:t>
      </w:r>
      <w:r>
        <w:rPr>
          <w:lang w:val="es-ES" w:eastAsia="zh-CN"/>
        </w:rPr>
        <w:tab/>
        <w:t>16 - 20</w:t>
      </w:r>
      <w:r w:rsidRPr="0026276E">
        <w:t xml:space="preserve"> </w:t>
      </w:r>
      <w:r w:rsidRPr="0026276E">
        <w:rPr>
          <w:lang w:val="es-ES" w:eastAsia="zh-CN"/>
        </w:rPr>
        <w:t>January</w:t>
      </w:r>
      <w:r>
        <w:rPr>
          <w:lang w:val="es-ES" w:eastAsia="zh-CN"/>
        </w:rPr>
        <w:t xml:space="preserve"> 2023</w:t>
      </w:r>
      <w:r>
        <w:rPr>
          <w:lang w:val="es-ES" w:eastAsia="zh-CN"/>
        </w:rPr>
        <w:tab/>
      </w:r>
      <w:r w:rsidR="005668A9">
        <w:rPr>
          <w:lang w:val="es-ES" w:eastAsia="zh-CN"/>
        </w:rPr>
        <w:t>Online</w:t>
      </w:r>
    </w:p>
    <w:p w14:paraId="045FFE8D" w14:textId="38B539D8" w:rsidR="00E431F2" w:rsidRPr="00285016" w:rsidRDefault="00E431F2" w:rsidP="002F1940">
      <w:pPr>
        <w:rPr>
          <w:lang w:val="es-ES" w:eastAsia="zh-CN"/>
        </w:rPr>
      </w:pPr>
      <w:r>
        <w:rPr>
          <w:rFonts w:hint="eastAsia"/>
          <w:lang w:val="es-ES" w:eastAsia="zh-CN"/>
        </w:rPr>
        <w:t>S</w:t>
      </w:r>
      <w:r>
        <w:rPr>
          <w:lang w:val="es-ES" w:eastAsia="zh-CN"/>
        </w:rPr>
        <w:t>A3#110</w:t>
      </w:r>
      <w:r>
        <w:rPr>
          <w:lang w:val="es-ES" w:eastAsia="zh-CN"/>
        </w:rPr>
        <w:tab/>
        <w:t>20 - 24 February 2023</w:t>
      </w:r>
      <w:r>
        <w:rPr>
          <w:lang w:val="es-ES" w:eastAsia="zh-CN"/>
        </w:rPr>
        <w:tab/>
        <w:t>EU</w:t>
      </w:r>
    </w:p>
    <w:p w14:paraId="054FEDCB" w14:textId="77777777" w:rsidR="006052AD" w:rsidRPr="0026276E" w:rsidRDefault="006052AD" w:rsidP="002F1940">
      <w:pPr>
        <w:rPr>
          <w:lang w:val="es-ES"/>
        </w:rPr>
      </w:pPr>
    </w:p>
    <w:sectPr w:rsidR="006052AD" w:rsidRPr="002627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3775F" w14:textId="77777777" w:rsidR="00E6788F" w:rsidRDefault="00E6788F">
      <w:pPr>
        <w:spacing w:after="0"/>
      </w:pPr>
      <w:r>
        <w:separator/>
      </w:r>
    </w:p>
  </w:endnote>
  <w:endnote w:type="continuationSeparator" w:id="0">
    <w:p w14:paraId="224D7E1A" w14:textId="77777777" w:rsidR="00E6788F" w:rsidRDefault="00E67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18FEE" w14:textId="77777777" w:rsidR="00E6788F" w:rsidRDefault="00E6788F">
      <w:pPr>
        <w:spacing w:after="0"/>
      </w:pPr>
      <w:r>
        <w:separator/>
      </w:r>
    </w:p>
  </w:footnote>
  <w:footnote w:type="continuationSeparator" w:id="0">
    <w:p w14:paraId="492D6E4B" w14:textId="77777777" w:rsidR="00E6788F" w:rsidRDefault="00E67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F6242"/>
    <w:rsid w:val="00103FF1"/>
    <w:rsid w:val="00126181"/>
    <w:rsid w:val="0016021A"/>
    <w:rsid w:val="00183323"/>
    <w:rsid w:val="00193565"/>
    <w:rsid w:val="00196B59"/>
    <w:rsid w:val="001A14F2"/>
    <w:rsid w:val="001B3A86"/>
    <w:rsid w:val="001B763F"/>
    <w:rsid w:val="001D2D6B"/>
    <w:rsid w:val="00220060"/>
    <w:rsid w:val="00226381"/>
    <w:rsid w:val="002473B2"/>
    <w:rsid w:val="00255790"/>
    <w:rsid w:val="002603BF"/>
    <w:rsid w:val="0026276E"/>
    <w:rsid w:val="00285016"/>
    <w:rsid w:val="002869FE"/>
    <w:rsid w:val="002911D1"/>
    <w:rsid w:val="002E01C1"/>
    <w:rsid w:val="002F1940"/>
    <w:rsid w:val="002F75CD"/>
    <w:rsid w:val="00322204"/>
    <w:rsid w:val="0034666C"/>
    <w:rsid w:val="00351906"/>
    <w:rsid w:val="00383545"/>
    <w:rsid w:val="0039685A"/>
    <w:rsid w:val="003F5E20"/>
    <w:rsid w:val="00433500"/>
    <w:rsid w:val="00433F71"/>
    <w:rsid w:val="00440D43"/>
    <w:rsid w:val="00470DF6"/>
    <w:rsid w:val="004E3939"/>
    <w:rsid w:val="00526221"/>
    <w:rsid w:val="00526DDD"/>
    <w:rsid w:val="005668A9"/>
    <w:rsid w:val="00595FE8"/>
    <w:rsid w:val="006052AD"/>
    <w:rsid w:val="00687469"/>
    <w:rsid w:val="0073766B"/>
    <w:rsid w:val="00747C1B"/>
    <w:rsid w:val="007C0463"/>
    <w:rsid w:val="007C50D2"/>
    <w:rsid w:val="007F4F92"/>
    <w:rsid w:val="008D5FC5"/>
    <w:rsid w:val="008D772F"/>
    <w:rsid w:val="008E0A68"/>
    <w:rsid w:val="00907004"/>
    <w:rsid w:val="009603F6"/>
    <w:rsid w:val="009963AC"/>
    <w:rsid w:val="0099764C"/>
    <w:rsid w:val="00A559A5"/>
    <w:rsid w:val="00A70448"/>
    <w:rsid w:val="00AA4FF3"/>
    <w:rsid w:val="00AE1B3E"/>
    <w:rsid w:val="00B2225F"/>
    <w:rsid w:val="00B97703"/>
    <w:rsid w:val="00BA3D66"/>
    <w:rsid w:val="00CD396E"/>
    <w:rsid w:val="00CF6087"/>
    <w:rsid w:val="00D01DD3"/>
    <w:rsid w:val="00D302A2"/>
    <w:rsid w:val="00D61813"/>
    <w:rsid w:val="00D8088B"/>
    <w:rsid w:val="00D8350F"/>
    <w:rsid w:val="00E077BA"/>
    <w:rsid w:val="00E2241D"/>
    <w:rsid w:val="00E431F2"/>
    <w:rsid w:val="00E56DC7"/>
    <w:rsid w:val="00E674D6"/>
    <w:rsid w:val="00E6788F"/>
    <w:rsid w:val="00EB481F"/>
    <w:rsid w:val="00EE1A8D"/>
    <w:rsid w:val="00F25496"/>
    <w:rsid w:val="00F5402E"/>
    <w:rsid w:val="00F667CF"/>
    <w:rsid w:val="00F803BE"/>
    <w:rsid w:val="00FA541C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bo6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55BE6-B280-49AC-8F84-066005C5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2022-11-07T09:03:00Z</dcterms:created>
  <dcterms:modified xsi:type="dcterms:W3CDTF">2022-11-07T10:30:00Z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(3)0fDnrhWb6s74qEfgz9Tr3L8zLNg4W2//HnlFjpnZgc/kOMw4qa4BfEh5r0+OR4h2AUKpq+nX
yhuojbt74PMOGTQxP4WQQjH3NEc2xngAkvvP2lRLFK9POUCkU6mqSKUhirlxKfc7+/viXaMT
zhihIfKQoAUGMaxQdeHm05ikeVhhgzer3YhMcYcgfl/6l5oi5nVQKrQQ9mQcYMVOV4zm9DLC
VpJrcQQaGP3eX6knm9</vt:lpwstr>
  </property>
  <property fmtid="{D5CDD505-2E9C-101B-9397-08002B2CF9AE}" pid="3" name="_2015_ms_pID_7253431">
    <vt:lpwstr>y/FdxzonHsAymiUy9o4N1pkHuDLsAqPBuAy1kV7xdgka9x1bMVgeTT
Fg6EloWooxUa/NyZRPK5CXX1nputkvp6LSvyTYW/JT+Ki2YSEfLrxyPxJ2jerQMJJBLR3t8m
YQtwUJpAGSBbRcCD7x5f1iyt9MUddbpJxOZ3NRSEi2Yoj6xeVotvW53o0htcmo6CTReDX0Eg
deeZAXZdv9x1YW/ddJh59Z0a1AH712uVA2WW</vt:lpwstr>
  </property>
  <property fmtid="{D5CDD505-2E9C-101B-9397-08002B2CF9AE}" pid="4" name="_2015_ms_pID_7253432">
    <vt:lpwstr>Gr2svHxDzlvc1XqINeRhNsQ=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1666245949</vt:lpwstr>
  </property>
</Properties>
</file>